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E0" w:rsidRDefault="009172E0" w:rsidP="0052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41</w:t>
      </w:r>
    </w:p>
    <w:p w:rsidR="00526726" w:rsidRDefault="00C95708" w:rsidP="0052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26726">
        <w:rPr>
          <w:rFonts w:ascii="Times New Roman" w:eastAsia="Times New Roman" w:hAnsi="Times New Roman" w:cs="Times New Roman"/>
          <w:b/>
          <w:bCs/>
        </w:rPr>
        <w:t>HIPOFOSFATEMIA ASOCIADA A USO DE FIERRO ENDOVENOSO - CASO CLÍNICO</w:t>
      </w:r>
    </w:p>
    <w:p w:rsidR="0095645E" w:rsidRPr="00526726" w:rsidRDefault="00C95708" w:rsidP="00526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726">
        <w:rPr>
          <w:rFonts w:ascii="Times New Roman" w:eastAsia="Times New Roman" w:hAnsi="Times New Roman" w:cs="Times New Roman"/>
        </w:rPr>
        <w:t xml:space="preserve">Alexandra </w:t>
      </w:r>
      <w:proofErr w:type="spellStart"/>
      <w:r w:rsidRPr="00526726">
        <w:rPr>
          <w:rFonts w:ascii="Times New Roman" w:eastAsia="Times New Roman" w:hAnsi="Times New Roman" w:cs="Times New Roman"/>
        </w:rPr>
        <w:t>Fischman</w:t>
      </w:r>
      <w:proofErr w:type="spellEnd"/>
      <w:r w:rsidRPr="00526726">
        <w:rPr>
          <w:rFonts w:ascii="Times New Roman" w:eastAsia="Times New Roman" w:hAnsi="Times New Roman" w:cs="Times New Roman"/>
        </w:rPr>
        <w:t xml:space="preserve"> Han</w:t>
      </w:r>
      <w:r w:rsidRPr="00526726">
        <w:rPr>
          <w:rFonts w:ascii="Times New Roman" w:eastAsia="Times New Roman" w:hAnsi="Times New Roman" w:cs="Times New Roman"/>
          <w:vertAlign w:val="superscript"/>
        </w:rPr>
        <w:t>1</w:t>
      </w:r>
      <w:r w:rsidRPr="00526726">
        <w:rPr>
          <w:rFonts w:ascii="Times New Roman" w:eastAsia="Times New Roman" w:hAnsi="Times New Roman" w:cs="Times New Roman"/>
        </w:rPr>
        <w:t>, Daniel Ernst Diaz</w:t>
      </w:r>
      <w:r w:rsidRPr="00526726">
        <w:rPr>
          <w:rFonts w:ascii="Times New Roman" w:eastAsia="Times New Roman" w:hAnsi="Times New Roman" w:cs="Times New Roman"/>
          <w:vertAlign w:val="superscript"/>
        </w:rPr>
        <w:t>2</w:t>
      </w:r>
      <w:r w:rsidRPr="00526726">
        <w:rPr>
          <w:rFonts w:ascii="Times New Roman" w:eastAsia="Times New Roman" w:hAnsi="Times New Roman" w:cs="Times New Roman"/>
        </w:rPr>
        <w:t>, P</w:t>
      </w:r>
      <w:r w:rsidR="00526726">
        <w:rPr>
          <w:rFonts w:ascii="Times New Roman" w:eastAsia="Times New Roman" w:hAnsi="Times New Roman" w:cs="Times New Roman"/>
        </w:rPr>
        <w:t>ablo Florenzano Valdés</w:t>
      </w:r>
      <w:r w:rsidRPr="00526726">
        <w:rPr>
          <w:rFonts w:ascii="Times New Roman" w:eastAsia="Times New Roman" w:hAnsi="Times New Roman" w:cs="Times New Roman"/>
          <w:vertAlign w:val="superscript"/>
        </w:rPr>
        <w:t>4</w:t>
      </w:r>
      <w:r w:rsidRPr="00526726">
        <w:rPr>
          <w:rFonts w:ascii="Times New Roman" w:eastAsia="Times New Roman" w:hAnsi="Times New Roman" w:cs="Times New Roman"/>
        </w:rPr>
        <w:t>, Luis Toro Cabrera</w:t>
      </w:r>
      <w:r w:rsidRPr="00526726">
        <w:rPr>
          <w:rFonts w:ascii="Times New Roman" w:eastAsia="Times New Roman" w:hAnsi="Times New Roman" w:cs="Times New Roman"/>
          <w:vertAlign w:val="superscript"/>
        </w:rPr>
        <w:t>3</w:t>
      </w:r>
      <w:r w:rsidRPr="00526726">
        <w:rPr>
          <w:rFonts w:ascii="Times New Roman" w:eastAsia="Times New Roman" w:hAnsi="Times New Roman" w:cs="Times New Roman"/>
        </w:rPr>
        <w:t>, F</w:t>
      </w:r>
      <w:r w:rsidR="00526726">
        <w:rPr>
          <w:rFonts w:ascii="Times New Roman" w:eastAsia="Times New Roman" w:hAnsi="Times New Roman" w:cs="Times New Roman"/>
        </w:rPr>
        <w:t>rancisco Guarda Vega</w:t>
      </w:r>
      <w:r w:rsidRPr="00526726">
        <w:rPr>
          <w:rFonts w:ascii="Times New Roman" w:eastAsia="Times New Roman" w:hAnsi="Times New Roman" w:cs="Times New Roman"/>
          <w:vertAlign w:val="superscript"/>
        </w:rPr>
        <w:t>4</w:t>
      </w:r>
      <w:r w:rsidRPr="00526726">
        <w:rPr>
          <w:rFonts w:ascii="Times New Roman" w:eastAsia="Times New Roman" w:hAnsi="Times New Roman" w:cs="Times New Roman"/>
        </w:rPr>
        <w:br/>
      </w:r>
      <w:r w:rsidRPr="00526726">
        <w:rPr>
          <w:rFonts w:ascii="Times New Roman" w:eastAsia="Times New Roman" w:hAnsi="Times New Roman" w:cs="Times New Roman"/>
          <w:vertAlign w:val="superscript"/>
        </w:rPr>
        <w:t>1</w:t>
      </w:r>
      <w:r w:rsidRPr="00526726">
        <w:rPr>
          <w:rFonts w:ascii="Times New Roman" w:eastAsia="Times New Roman" w:hAnsi="Times New Roman" w:cs="Times New Roman"/>
        </w:rPr>
        <w:t xml:space="preserve">Escuela de Medicina, Pontificia Universidad Católica de Chile, </w:t>
      </w:r>
      <w:r w:rsidRPr="00526726">
        <w:rPr>
          <w:rFonts w:ascii="Times New Roman" w:eastAsia="Times New Roman" w:hAnsi="Times New Roman" w:cs="Times New Roman"/>
          <w:vertAlign w:val="superscript"/>
        </w:rPr>
        <w:t>2</w:t>
      </w:r>
      <w:r w:rsidRPr="00526726">
        <w:rPr>
          <w:rFonts w:ascii="Times New Roman" w:eastAsia="Times New Roman" w:hAnsi="Times New Roman" w:cs="Times New Roman"/>
        </w:rPr>
        <w:t xml:space="preserve">Departamento de Hematología y Oncología, Pontificia Universidad Católica de Chile, </w:t>
      </w:r>
      <w:r w:rsidRPr="00526726">
        <w:rPr>
          <w:rFonts w:ascii="Times New Roman" w:eastAsia="Times New Roman" w:hAnsi="Times New Roman" w:cs="Times New Roman"/>
          <w:vertAlign w:val="superscript"/>
        </w:rPr>
        <w:t>3</w:t>
      </w:r>
      <w:r w:rsidRPr="00526726">
        <w:rPr>
          <w:rFonts w:ascii="Times New Roman" w:eastAsia="Times New Roman" w:hAnsi="Times New Roman" w:cs="Times New Roman"/>
        </w:rPr>
        <w:t>In</w:t>
      </w:r>
      <w:r w:rsidR="00526726">
        <w:rPr>
          <w:rFonts w:ascii="Times New Roman" w:eastAsia="Times New Roman" w:hAnsi="Times New Roman" w:cs="Times New Roman"/>
        </w:rPr>
        <w:t xml:space="preserve">stituto de Ciencias Biomédicas, </w:t>
      </w:r>
      <w:r w:rsidRPr="00526726">
        <w:rPr>
          <w:rFonts w:ascii="Times New Roman" w:eastAsia="Times New Roman" w:hAnsi="Times New Roman" w:cs="Times New Roman"/>
        </w:rPr>
        <w:t xml:space="preserve">Hospital </w:t>
      </w:r>
      <w:r w:rsidR="00526726" w:rsidRPr="00526726">
        <w:rPr>
          <w:rFonts w:ascii="Times New Roman" w:eastAsia="Times New Roman" w:hAnsi="Times New Roman" w:cs="Times New Roman"/>
        </w:rPr>
        <w:t>Clínico</w:t>
      </w:r>
      <w:r w:rsidRPr="00526726">
        <w:rPr>
          <w:rFonts w:ascii="Times New Roman" w:eastAsia="Times New Roman" w:hAnsi="Times New Roman" w:cs="Times New Roman"/>
        </w:rPr>
        <w:t xml:space="preserve"> Universidad de Chile, Facultad de Medicina, Universidad de Chile, </w:t>
      </w:r>
      <w:r w:rsidRPr="00526726">
        <w:rPr>
          <w:rFonts w:ascii="Times New Roman" w:eastAsia="Times New Roman" w:hAnsi="Times New Roman" w:cs="Times New Roman"/>
          <w:vertAlign w:val="superscript"/>
        </w:rPr>
        <w:t>4</w:t>
      </w:r>
      <w:r w:rsidRPr="00526726">
        <w:rPr>
          <w:rFonts w:ascii="Times New Roman" w:eastAsia="Times New Roman" w:hAnsi="Times New Roman" w:cs="Times New Roman"/>
        </w:rPr>
        <w:t>Departamento de Endocrinología, Pontificia Universidad Católica de Chile</w:t>
      </w:r>
      <w:r w:rsidRPr="00526726">
        <w:rPr>
          <w:rFonts w:ascii="Times New Roman" w:eastAsia="Times New Roman" w:hAnsi="Times New Roman" w:cs="Times New Roman"/>
        </w:rPr>
        <w:br/>
      </w:r>
      <w:r w:rsidR="00526726">
        <w:rPr>
          <w:rStyle w:val="Textoennegrita"/>
        </w:rPr>
        <w:t>I</w:t>
      </w:r>
      <w:r w:rsidRPr="00526726">
        <w:rPr>
          <w:rStyle w:val="Textoennegrita"/>
          <w:rFonts w:ascii="Times New Roman" w:hAnsi="Times New Roman" w:cs="Times New Roman"/>
        </w:rPr>
        <w:t>NTRODUCCIÓN:</w:t>
      </w:r>
      <w:r w:rsidR="00526726">
        <w:rPr>
          <w:rStyle w:val="Textoennegrita"/>
        </w:rPr>
        <w:t xml:space="preserve"> </w:t>
      </w:r>
      <w:r w:rsidRPr="00526726">
        <w:rPr>
          <w:rFonts w:ascii="Times New Roman" w:hAnsi="Times New Roman" w:cs="Times New Roman"/>
        </w:rPr>
        <w:t xml:space="preserve">La prevalencia de </w:t>
      </w:r>
      <w:proofErr w:type="spellStart"/>
      <w:r w:rsidRPr="00526726">
        <w:rPr>
          <w:rFonts w:ascii="Times New Roman" w:hAnsi="Times New Roman" w:cs="Times New Roman"/>
        </w:rPr>
        <w:t>hipofosfatemia</w:t>
      </w:r>
      <w:proofErr w:type="spellEnd"/>
      <w:r w:rsidRPr="00526726">
        <w:rPr>
          <w:rFonts w:ascii="Times New Roman" w:hAnsi="Times New Roman" w:cs="Times New Roman"/>
        </w:rPr>
        <w:t xml:space="preserve"> varía ampliamente según la población estudiada, llegando a presentarse en hasta un 5% de los pacientes hospitalizados. Las causas son variadas, y pueden clasificarse según su mecanismo fisiopatológico principal en: redistribución desde el extracelular hacia el intracelular, disminución de la absorción intestinal, remoción por terapia de sustitución renal y aumento de pérdidas renales. En este último mecanismo, FGF-23 cumple un rol preponderante como hormona </w:t>
      </w:r>
      <w:proofErr w:type="spellStart"/>
      <w:r w:rsidRPr="00526726">
        <w:rPr>
          <w:rFonts w:ascii="Times New Roman" w:hAnsi="Times New Roman" w:cs="Times New Roman"/>
        </w:rPr>
        <w:t>fosfatúrica</w:t>
      </w:r>
      <w:proofErr w:type="spellEnd"/>
      <w:r w:rsidRPr="00526726">
        <w:rPr>
          <w:rFonts w:ascii="Times New Roman" w:hAnsi="Times New Roman" w:cs="Times New Roman"/>
        </w:rPr>
        <w:t xml:space="preserve"> y se ha descrito relación entre esta hormona y el metabolismo del fierro, como también con mecanismos de hipoxia.</w:t>
      </w:r>
    </w:p>
    <w:p w:rsidR="0095645E" w:rsidRPr="00526726" w:rsidRDefault="00C95708" w:rsidP="005267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26726">
        <w:rPr>
          <w:rStyle w:val="Textoennegrita"/>
          <w:sz w:val="22"/>
          <w:szCs w:val="22"/>
        </w:rPr>
        <w:t>CASO CLÍNICO:</w:t>
      </w:r>
      <w:r w:rsidR="00526726">
        <w:rPr>
          <w:rStyle w:val="Textoennegrita"/>
          <w:sz w:val="22"/>
          <w:szCs w:val="22"/>
        </w:rPr>
        <w:t xml:space="preserve"> </w:t>
      </w:r>
      <w:r w:rsidRPr="00526726">
        <w:rPr>
          <w:sz w:val="22"/>
          <w:szCs w:val="22"/>
        </w:rPr>
        <w:t xml:space="preserve">Mujer de 49 años, con antecedentes de leucemia mieloide crónica diagnosticada hace 10 años, en tratamiento con </w:t>
      </w:r>
      <w:proofErr w:type="spellStart"/>
      <w:r w:rsidRPr="00526726">
        <w:rPr>
          <w:sz w:val="22"/>
          <w:szCs w:val="22"/>
        </w:rPr>
        <w:t>Imatinib</w:t>
      </w:r>
      <w:proofErr w:type="spellEnd"/>
      <w:r w:rsidRPr="00526726">
        <w:rPr>
          <w:sz w:val="22"/>
          <w:szCs w:val="22"/>
        </w:rPr>
        <w:t xml:space="preserve"> desde entonces, y manga gástrica hace 3 años. En controles se pesquisó anemia y déficit de fierro por lo que se indicó tratamiento con fierro </w:t>
      </w:r>
      <w:proofErr w:type="spellStart"/>
      <w:r w:rsidRPr="00526726">
        <w:rPr>
          <w:sz w:val="22"/>
          <w:szCs w:val="22"/>
        </w:rPr>
        <w:t>carboximaltosa</w:t>
      </w:r>
      <w:proofErr w:type="spellEnd"/>
      <w:r w:rsidRPr="00526726">
        <w:rPr>
          <w:sz w:val="22"/>
          <w:szCs w:val="22"/>
        </w:rPr>
        <w:t xml:space="preserve"> (FCM) de 1000mg EV por una vez. </w:t>
      </w:r>
      <w:r w:rsidRPr="00526726">
        <w:rPr>
          <w:sz w:val="22"/>
          <w:szCs w:val="22"/>
        </w:rPr>
        <w:br/>
        <w:t xml:space="preserve">Dos semanas luego de la administración de FCM se pesquisó </w:t>
      </w:r>
      <w:proofErr w:type="spellStart"/>
      <w:r w:rsidRPr="00526726">
        <w:rPr>
          <w:sz w:val="22"/>
          <w:szCs w:val="22"/>
        </w:rPr>
        <w:t>hipofosfatemia</w:t>
      </w:r>
      <w:proofErr w:type="spellEnd"/>
      <w:r w:rsidRPr="00526726">
        <w:rPr>
          <w:sz w:val="22"/>
          <w:szCs w:val="22"/>
        </w:rPr>
        <w:t xml:space="preserve"> (con </w:t>
      </w:r>
      <w:proofErr w:type="spellStart"/>
      <w:r w:rsidRPr="00526726">
        <w:rPr>
          <w:sz w:val="22"/>
          <w:szCs w:val="22"/>
        </w:rPr>
        <w:t>fosfatemias</w:t>
      </w:r>
      <w:proofErr w:type="spellEnd"/>
      <w:r w:rsidRPr="00526726">
        <w:rPr>
          <w:sz w:val="22"/>
          <w:szCs w:val="22"/>
        </w:rPr>
        <w:t xml:space="preserve"> previas normales) asociada a debilidad muscular leve, sin dolores óseos ni fracturas, sin hallazgos al examen físico. Se derivó a Endocrinología para estudio. En exámenes se confirmó Calcio corregido 7.8 mg/dL, </w:t>
      </w:r>
      <w:proofErr w:type="spellStart"/>
      <w:r w:rsidRPr="00526726">
        <w:rPr>
          <w:sz w:val="22"/>
          <w:szCs w:val="22"/>
        </w:rPr>
        <w:t>fosfatemia</w:t>
      </w:r>
      <w:proofErr w:type="spellEnd"/>
      <w:r w:rsidRPr="00526726">
        <w:rPr>
          <w:sz w:val="22"/>
          <w:szCs w:val="22"/>
        </w:rPr>
        <w:t xml:space="preserve"> 0.7 mg/dL (VN 2,6-4,5), creatinina 0.52 mg/dL, FA 50 U/L, ferritina 1570 ng/mL, PTH 124 pg/mL, 25OHD 35.5 ng/mL. Se realizó estudio de pérdidas urinarias, el que muestra creatinina urinaria 870 mg/día, calcio urinario 139.5 mg/día, fosfato urinario 465 mg/día y tasa de reabsorción de fosfato de 75.2% (con TmPO4/GFR 0.82 (VN 2.5-4.5) co</w:t>
      </w:r>
      <w:r w:rsidR="009172E0">
        <w:rPr>
          <w:sz w:val="22"/>
          <w:szCs w:val="22"/>
        </w:rPr>
        <w:t xml:space="preserve">n </w:t>
      </w:r>
      <w:proofErr w:type="spellStart"/>
      <w:r w:rsidR="009172E0">
        <w:rPr>
          <w:sz w:val="22"/>
          <w:szCs w:val="22"/>
        </w:rPr>
        <w:t>hipofosfatemia</w:t>
      </w:r>
      <w:proofErr w:type="spellEnd"/>
      <w:r w:rsidR="009172E0">
        <w:rPr>
          <w:sz w:val="22"/>
          <w:szCs w:val="22"/>
        </w:rPr>
        <w:t xml:space="preserve"> concomitante). </w:t>
      </w:r>
      <w:r w:rsidRPr="00526726">
        <w:rPr>
          <w:sz w:val="22"/>
          <w:szCs w:val="22"/>
        </w:rPr>
        <w:t xml:space="preserve">Considerando temporalidad y habiendo descartando hiperparatiroidismo primario asociado a excreción urinaria de fosfato aumentada, se diagnostica probable </w:t>
      </w:r>
      <w:proofErr w:type="spellStart"/>
      <w:r w:rsidRPr="00526726">
        <w:rPr>
          <w:sz w:val="22"/>
          <w:szCs w:val="22"/>
        </w:rPr>
        <w:t>hipofosfatemia</w:t>
      </w:r>
      <w:proofErr w:type="spellEnd"/>
      <w:r w:rsidRPr="00526726">
        <w:rPr>
          <w:sz w:val="22"/>
          <w:szCs w:val="22"/>
        </w:rPr>
        <w:t xml:space="preserve"> secundaria a administración de fierro endovenoso. Se solicitó medición de FGF-23 intacto, el que aún se encuentra pendiente.</w:t>
      </w:r>
    </w:p>
    <w:p w:rsidR="0095645E" w:rsidRPr="00526726" w:rsidRDefault="00C95708" w:rsidP="005267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26726">
        <w:rPr>
          <w:rStyle w:val="Textoennegrita"/>
          <w:sz w:val="22"/>
          <w:szCs w:val="22"/>
        </w:rPr>
        <w:t>DISCUSIÓN:</w:t>
      </w:r>
      <w:r w:rsidR="00526726">
        <w:rPr>
          <w:rStyle w:val="Textoennegrita"/>
          <w:sz w:val="22"/>
          <w:szCs w:val="22"/>
        </w:rPr>
        <w:t xml:space="preserve"> </w:t>
      </w:r>
      <w:r w:rsidRPr="00526726">
        <w:rPr>
          <w:sz w:val="22"/>
          <w:szCs w:val="22"/>
        </w:rPr>
        <w:t>La</w:t>
      </w:r>
      <w:r w:rsidR="009172E0">
        <w:rPr>
          <w:sz w:val="22"/>
          <w:szCs w:val="22"/>
        </w:rPr>
        <w:t xml:space="preserve"> </w:t>
      </w:r>
      <w:proofErr w:type="spellStart"/>
      <w:r w:rsidRPr="00526726">
        <w:rPr>
          <w:sz w:val="22"/>
          <w:szCs w:val="22"/>
        </w:rPr>
        <w:t>hipofosfatemia</w:t>
      </w:r>
      <w:proofErr w:type="spellEnd"/>
      <w:r w:rsidRPr="00526726">
        <w:rPr>
          <w:sz w:val="22"/>
          <w:szCs w:val="22"/>
        </w:rPr>
        <w:t xml:space="preserve"> crónica puede provocar alteraciones de la mineralización ósea e incluso fracturas, por lo que es importante su pesquisa y manejo adecuados. Los casos de </w:t>
      </w:r>
      <w:proofErr w:type="spellStart"/>
      <w:r w:rsidRPr="00526726">
        <w:rPr>
          <w:sz w:val="22"/>
          <w:szCs w:val="22"/>
        </w:rPr>
        <w:t>hipofosfatemia</w:t>
      </w:r>
      <w:proofErr w:type="spellEnd"/>
      <w:r w:rsidRPr="00526726">
        <w:rPr>
          <w:sz w:val="22"/>
          <w:szCs w:val="22"/>
        </w:rPr>
        <w:t xml:space="preserve"> asociada a uso de </w:t>
      </w:r>
      <w:proofErr w:type="spellStart"/>
      <w:r w:rsidRPr="00526726">
        <w:rPr>
          <w:sz w:val="22"/>
          <w:szCs w:val="22"/>
        </w:rPr>
        <w:t>FeEV</w:t>
      </w:r>
      <w:proofErr w:type="spellEnd"/>
      <w:r w:rsidRPr="00526726">
        <w:rPr>
          <w:sz w:val="22"/>
          <w:szCs w:val="22"/>
        </w:rPr>
        <w:t xml:space="preserve"> son escasos en la literatura y la fisiopatología involucrada aún no está completamente esclarecida. El riesgo estaría determinado por el tipo de preparación de fierro administrado, constituyendo su presentación </w:t>
      </w:r>
      <w:proofErr w:type="spellStart"/>
      <w:r w:rsidRPr="00526726">
        <w:rPr>
          <w:sz w:val="22"/>
          <w:szCs w:val="22"/>
        </w:rPr>
        <w:t>carboximaltosa</w:t>
      </w:r>
      <w:proofErr w:type="spellEnd"/>
      <w:r w:rsidRPr="00526726">
        <w:rPr>
          <w:sz w:val="22"/>
          <w:szCs w:val="22"/>
        </w:rPr>
        <w:t xml:space="preserve"> la con mayor riesgo, especialmente en pacientes con función renal conservada. Se ha descrito que este fármaco induce aumentos en los niveles de FGF-23 intacto, inhibiendo la acción de </w:t>
      </w:r>
      <w:proofErr w:type="spellStart"/>
      <w:r w:rsidRPr="00526726">
        <w:rPr>
          <w:sz w:val="22"/>
          <w:szCs w:val="22"/>
        </w:rPr>
        <w:t>endopeptidasas</w:t>
      </w:r>
      <w:proofErr w:type="spellEnd"/>
      <w:r w:rsidRPr="00526726">
        <w:rPr>
          <w:sz w:val="22"/>
          <w:szCs w:val="22"/>
        </w:rPr>
        <w:t xml:space="preserve"> que degradan esta hormona. Habitualmente, el manejo es la suspensión de la droga y sintomático, incluyendo el aporte de fosfato como también el uso de calcitriol. Presentamos este caso clínico para crear conciencia sobre esta condición y dar a conocer los mecanismos involucrados.</w:t>
      </w:r>
    </w:p>
    <w:p w:rsidR="00C95708" w:rsidRPr="00526726" w:rsidRDefault="00C95708" w:rsidP="005267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6726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26726">
        <w:rPr>
          <w:rFonts w:ascii="Times New Roman" w:eastAsia="Times New Roman" w:hAnsi="Times New Roman" w:cs="Times New Roman"/>
        </w:rPr>
        <w:t xml:space="preserve">No </w:t>
      </w:r>
    </w:p>
    <w:sectPr w:rsidR="00C95708" w:rsidRPr="00526726" w:rsidSect="0095645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A04"/>
    <w:rsid w:val="003951CA"/>
    <w:rsid w:val="00526726"/>
    <w:rsid w:val="009172E0"/>
    <w:rsid w:val="0095645E"/>
    <w:rsid w:val="00BC61B4"/>
    <w:rsid w:val="00C95708"/>
    <w:rsid w:val="00CA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56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2018-08-06T20:45:00Z</dcterms:created>
  <dcterms:modified xsi:type="dcterms:W3CDTF">2018-09-30T20:34:00Z</dcterms:modified>
</cp:coreProperties>
</file>